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  <w:lang w:val="en-US" w:eastAsia="zh-CN"/>
        </w:rPr>
        <w:t>东风区卫生健康局2023年</w:t>
      </w: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政府信息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numPr>
          <w:ilvl w:val="0"/>
          <w:numId w:val="1"/>
        </w:num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bookmarkStart w:id="0" w:name="_GoBack"/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总体情况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firstLine="64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年，在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委、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政府领导下,我局严格按照《中华人民共和国政府信息公开条例》有关规定贯彻落实政府信息公开工作，并结合实际积极做好主动公开、依申请公开、政府信息管理、平台建设、监督保障、社会评议等工作，确保公开信息与数据的全面、及时、真实、准确，保障人民群众的知情权和监督权，有效提升行政效能。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firstLine="560" w:firstLineChars="200"/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（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>一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）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主动公开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2023年，东风区卫生健康局在政府网站和“诚信东风”政务新媒体共发布23条公开信息。严格按照《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》规定公开信息。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leftChars="0" w:firstLine="56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（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  <w:t>二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）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依申请公开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截至12月31日，我局没有收到有关政府信息公开的申请。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leftChars="0" w:firstLine="56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（三）政府信息管理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我局及时调整政府信息公开工作领导小组，明确工作分工及职责。主要职责包括承办信息公开事项、维护和更新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信息、公开目录和年度报告等。注重公开实效性，及时动态调整信息，做到常规性工作定期公开，临时性工作随时公开，固定性工作长期公开。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（四）政府信息公开平台建设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主要通过政府信息公开网站及时公布机构信息、法规文件、规划总结、工作动态、部门预决算、通知公告等，力求卫健工作公开透明。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（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五）监督保障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按照分级负责的原则，采取多种形式，对我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政务公开工作落实情况进行监督检查。对违反政务公开规定的人和事进行批评教育，情节严重的根据有关规定严肃处理。截至目前，我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未出现违反有关政务公开制度规定的情况。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存在问题：2023年以来，我局的政务信息公开工作取得了一定的成效，但仍然存在许多不足，主要表现政务信息公开意识不强、各类工作信息报送不及时等问题。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整改情况：一是加强政务信息公开意识。深入学习政务公开各项制度文件，建立健全相关制度，以制度保障政务公开工作落到实处。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二是优化政务信息内容，严格把好各类政务信息的质量关和内容关，提升政务信息质量，丰富政务信息内容，及时公布各类工作动态，确保群众从中受益。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2023年度，东风区卫生健康局无收取政府信息公开信息处理费情况。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35E84"/>
    <w:multiLevelType w:val="singleLevel"/>
    <w:tmpl w:val="3DA35E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754B60B7"/>
    <w:rsid w:val="0F8755AD"/>
    <w:rsid w:val="15552E80"/>
    <w:rsid w:val="1E371F07"/>
    <w:rsid w:val="25FE7415"/>
    <w:rsid w:val="3CFF77AF"/>
    <w:rsid w:val="418C6CDC"/>
    <w:rsid w:val="43F22918"/>
    <w:rsid w:val="4C691CA1"/>
    <w:rsid w:val="50376DAD"/>
    <w:rsid w:val="550541C2"/>
    <w:rsid w:val="56A203C4"/>
    <w:rsid w:val="5B914453"/>
    <w:rsid w:val="5BD746D5"/>
    <w:rsid w:val="5FA41879"/>
    <w:rsid w:val="6BF662AB"/>
    <w:rsid w:val="6F17458D"/>
    <w:rsid w:val="754B60B7"/>
    <w:rsid w:val="7C581745"/>
    <w:rsid w:val="7C7D2DBE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1288</Characters>
  <Lines>0</Lines>
  <Paragraphs>0</Paragraphs>
  <TotalTime>6</TotalTime>
  <ScaleCrop>false</ScaleCrop>
  <LinksUpToDate>false</LinksUpToDate>
  <CharactersWithSpaces>1288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龍</cp:lastModifiedBy>
  <cp:lastPrinted>2024-01-08T05:59:00Z</cp:lastPrinted>
  <dcterms:modified xsi:type="dcterms:W3CDTF">2024-01-17T02:13:25Z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63876B8CC7D44624921EAB83D839C9C1_13</vt:lpwstr>
  </property>
</Properties>
</file>